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shd w:val="clear" w:color="auto" w:fill="FFFFFF"/>
          <w:lang w:eastAsia="ru-RU"/>
        </w:rPr>
        <w:t>ИНСТИТУТ ДОПОЛНИТЕЛЬНОГО ОБРАЗОВАНИЯ</w:t>
      </w: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shd w:val="clear" w:color="auto" w:fill="FFFFFF"/>
          <w:lang w:eastAsia="ru-RU"/>
        </w:rPr>
        <w:br/>
        <w:t>Российской национальной библиотеки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br/>
        <w:t> 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10 апреля 2023 г.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 xml:space="preserve">стартует </w:t>
      </w:r>
      <w:proofErr w:type="gramStart"/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обучение по программам</w:t>
      </w:r>
      <w:proofErr w:type="gramEnd"/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повышения квалификации 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hyperlink r:id="rId6" w:tgtFrame="_blank" w:history="1"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shd w:val="clear" w:color="auto" w:fill="FFFFFF"/>
            <w:lang w:eastAsia="ru-RU"/>
          </w:rPr>
          <w:t>«Актуальные компетенции специалистов модельных библиотек нового поколения»</w:t>
        </w:r>
      </w:hyperlink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(16 акад. ч., 36 </w:t>
      </w:r>
      <w:proofErr w:type="spellStart"/>
      <w:proofErr w:type="gramStart"/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акад</w:t>
      </w:r>
      <w:proofErr w:type="spellEnd"/>
      <w:proofErr w:type="gramEnd"/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ч., 72 акад. ч.)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Приглашаем всех желающих повысить квалификацию в рамках программ дополнительного профессионального образования «Актуальные компетенции специалистов модельных библиотек нового поколения»: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  <w:t> 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с 10 по 28 апреля 2023 г.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— </w:t>
      </w:r>
      <w:hyperlink r:id="rId7" w:tgtFrame="_blank" w:history="1"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«Актуальные компетенции специалистов модельных библиотек нового поколения»</w:t>
        </w:r>
      </w:hyperlink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shd w:val="clear" w:color="auto" w:fill="FFFFFF"/>
          <w:lang w:eastAsia="ru-RU"/>
        </w:rPr>
        <w:t> 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(72 акад. часа), основная программа + специализация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shd w:val="clear" w:color="auto" w:fill="FFFFFF"/>
          <w:lang w:eastAsia="ru-RU"/>
        </w:rPr>
        <w:t>с 10 по 17 апреля 2023 г.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— </w:t>
      </w:r>
      <w:hyperlink r:id="rId8" w:tgtFrame="_blank" w:history="1"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«Актуальные компетенции специалистов модельных библиотек нового поколения»</w:t>
        </w:r>
      </w:hyperlink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(36 акад. часов), основная программа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shd w:val="clear" w:color="auto" w:fill="FFFFFF"/>
          <w:lang w:eastAsia="ru-RU"/>
        </w:rPr>
        <w:t>с 18 по 25 апреля 2023 г.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—</w:t>
      </w: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shd w:val="clear" w:color="auto" w:fill="FFFFFF"/>
          <w:lang w:eastAsia="ru-RU"/>
        </w:rPr>
        <w:t> </w:t>
      </w:r>
      <w:hyperlink r:id="rId9" w:tgtFrame="_blank" w:history="1"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«Электронные каталоги, базы данных, машиночитаемая каталогизация и инструменты тематического доступа для модельных библиотек нового поколения»</w:t>
        </w:r>
      </w:hyperlink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(36 акад. часов)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shd w:val="clear" w:color="auto" w:fill="FFFFFF"/>
          <w:lang w:eastAsia="ru-RU"/>
        </w:rPr>
        <w:t>с 18 по 20 апреля 2023 г.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—</w:t>
      </w: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shd w:val="clear" w:color="auto" w:fill="FFFFFF"/>
          <w:lang w:eastAsia="ru-RU"/>
        </w:rPr>
        <w:t> </w:t>
      </w:r>
      <w:hyperlink r:id="rId10" w:tgtFrame="_blank" w:history="1"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«Общие вопросы обеспечения сохранности фондов модельных библиотек»</w:t>
        </w:r>
      </w:hyperlink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(16 акад. часов)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с 21 по 28 апреля 2023 г.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— </w:t>
      </w:r>
      <w:hyperlink r:id="rId11" w:tgtFrame="_blank" w:history="1"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«Школа комплектатора. Формирование фондов модельных библиотек»</w:t>
        </w:r>
      </w:hyperlink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(36 акад. часов)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с 21 по 28 апреля 2023 г.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— </w:t>
      </w:r>
      <w:hyperlink r:id="rId12" w:tgtFrame="_blank" w:history="1"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«Практика краеведческой деятельности модельной библиотеки»</w:t>
        </w:r>
      </w:hyperlink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(36 акад. часов)</w:t>
      </w:r>
    </w:p>
    <w:p w:rsidR="00D540A6" w:rsidRPr="00D540A6" w:rsidRDefault="00D540A6" w:rsidP="00D540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ru-RU"/>
        </w:rPr>
        <w:t>с 21 по 28 апреля 2023 г.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—</w:t>
      </w: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  <w:hyperlink r:id="rId13" w:tgtFrame="_blank" w:history="1"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«Консервация документов в практике модельных библиотек»</w:t>
        </w:r>
      </w:hyperlink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(36 акад. часов)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Занятия проводятся дистанционно, в режиме реального времени.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Обучение ведут высококвалифицированные специалисты Российской национальной библиотеки. 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По итогам успешного завершения программ выдается </w:t>
      </w:r>
      <w:hyperlink r:id="rId14" w:tgtFrame="_blank" w:history="1"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удостоверение о повышении квалификации.</w:t>
        </w:r>
      </w:hyperlink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Подать заявку на обучение можно в электронном виде: </w:t>
      </w:r>
      <w:hyperlink r:id="rId15" w:tgtFrame="_blank" w:history="1"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ЗАЯВ</w:t>
        </w:r>
        <w:bookmarkStart w:id="0" w:name="_GoBack"/>
        <w:bookmarkEnd w:id="0"/>
        <w:r w:rsidRPr="00D540A6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КА </w:t>
        </w:r>
      </w:hyperlink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shd w:val="clear" w:color="auto" w:fill="FFFFFF"/>
          <w:lang w:eastAsia="ru-RU"/>
        </w:rPr>
        <w:t>Дополнительная информация: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Тел.: (812) 718-85-06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: profeducation@nlr.ru</w:t>
      </w:r>
    </w:p>
    <w:p w:rsidR="00D540A6" w:rsidRPr="00D540A6" w:rsidRDefault="00D540A6" w:rsidP="00D54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</w:pPr>
      <w:r w:rsidRPr="00D540A6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t> </w:t>
      </w:r>
    </w:p>
    <w:p w:rsidR="00E23BAF" w:rsidRPr="00D540A6" w:rsidRDefault="00D540A6">
      <w:pPr>
        <w:rPr>
          <w:rFonts w:ascii="Times New Roman" w:hAnsi="Times New Roman" w:cs="Times New Roman"/>
        </w:rPr>
      </w:pPr>
    </w:p>
    <w:sectPr w:rsidR="00E23BAF" w:rsidRPr="00D5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EC3"/>
    <w:multiLevelType w:val="multilevel"/>
    <w:tmpl w:val="A49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17"/>
    <w:rsid w:val="006F2A17"/>
    <w:rsid w:val="00767D50"/>
    <w:rsid w:val="00AC7DF2"/>
    <w:rsid w:val="00D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0A6"/>
    <w:rPr>
      <w:b/>
      <w:bCs/>
    </w:rPr>
  </w:style>
  <w:style w:type="character" w:styleId="a5">
    <w:name w:val="Hyperlink"/>
    <w:basedOn w:val="a0"/>
    <w:uiPriority w:val="99"/>
    <w:semiHidden/>
    <w:unhideWhenUsed/>
    <w:rsid w:val="00D54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0A6"/>
    <w:rPr>
      <w:b/>
      <w:bCs/>
    </w:rPr>
  </w:style>
  <w:style w:type="character" w:styleId="a5">
    <w:name w:val="Hyperlink"/>
    <w:basedOn w:val="a0"/>
    <w:uiPriority w:val="99"/>
    <w:semiHidden/>
    <w:unhideWhenUsed/>
    <w:rsid w:val="00D54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r.ru/education/RA2262/kompetentsii-spetsialistov" TargetMode="External"/><Relationship Id="rId13" Type="http://schemas.openxmlformats.org/officeDocument/2006/relationships/hyperlink" Target="https://nlr.ru/education/RA2274/konservatsiya-dokumentov-model-bibliot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lr.ru/education/RA2262/kompetentsii-spetsialistov" TargetMode="External"/><Relationship Id="rId12" Type="http://schemas.openxmlformats.org/officeDocument/2006/relationships/hyperlink" Target="https://nlr.ru/education/RA2270/kraeved-deyatelnost-model-bi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lr.ru/education/RA2262/kompetentsii-spetsialistov" TargetMode="External"/><Relationship Id="rId11" Type="http://schemas.openxmlformats.org/officeDocument/2006/relationships/hyperlink" Target="https://nlr.ru/education/RA2257/shkola-komplektato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r.ru/education/RA1881/elektronnaya-zapis-na-obuchenie" TargetMode="External"/><Relationship Id="rId10" Type="http://schemas.openxmlformats.org/officeDocument/2006/relationships/hyperlink" Target="https://nlr.ru/education/RA2271/obespecheniya-sohrannosti-modelnyih-bibliot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r.ru/education/RA2261/katalogi" TargetMode="External"/><Relationship Id="rId14" Type="http://schemas.openxmlformats.org/officeDocument/2006/relationships/hyperlink" Target="https://nlr.ru/education/dep/artupload/edu/article/RA1737/NA139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2023-02-20T11:27:00Z</dcterms:created>
  <dcterms:modified xsi:type="dcterms:W3CDTF">2023-02-20T11:27:00Z</dcterms:modified>
</cp:coreProperties>
</file>